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4ADC" w14:textId="77777777" w:rsidR="0097798D" w:rsidRDefault="0097798D" w:rsidP="0097798D">
      <w:pPr>
        <w:rPr>
          <w:rFonts w:ascii="Tahoma" w:hAnsi="Tahoma" w:cs="Tahoma"/>
          <w:b/>
          <w:sz w:val="20"/>
          <w:szCs w:val="20"/>
        </w:rPr>
      </w:pPr>
    </w:p>
    <w:tbl>
      <w:tblPr>
        <w:tblW w:w="954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2954"/>
        <w:gridCol w:w="6586"/>
      </w:tblGrid>
      <w:tr w:rsidR="0097798D" w14:paraId="3D3B6AF8" w14:textId="77777777" w:rsidTr="00662E54">
        <w:tc>
          <w:tcPr>
            <w:tcW w:w="2954" w:type="dxa"/>
            <w:tcBorders>
              <w:top w:val="single" w:sz="18" w:space="0" w:color="auto"/>
              <w:left w:val="single" w:sz="18" w:space="0" w:color="auto"/>
              <w:bottom w:val="single" w:sz="2" w:space="0" w:color="auto"/>
              <w:right w:val="single" w:sz="2" w:space="0" w:color="auto"/>
            </w:tcBorders>
            <w:hideMark/>
          </w:tcPr>
          <w:p w14:paraId="114BCE24" w14:textId="77777777" w:rsidR="0097798D" w:rsidRDefault="0097798D" w:rsidP="004D3EFC">
            <w:pPr>
              <w:rPr>
                <w:rFonts w:ascii="Tahoma" w:hAnsi="Tahoma" w:cs="Tahoma"/>
                <w:b/>
                <w:sz w:val="28"/>
                <w:szCs w:val="28"/>
              </w:rPr>
            </w:pPr>
            <w:r>
              <w:rPr>
                <w:rFonts w:ascii="Tahoma" w:hAnsi="Tahoma" w:cs="Tahoma"/>
                <w:b/>
                <w:sz w:val="28"/>
                <w:szCs w:val="28"/>
              </w:rPr>
              <w:t>Organisation</w:t>
            </w:r>
          </w:p>
        </w:tc>
        <w:tc>
          <w:tcPr>
            <w:tcW w:w="6586" w:type="dxa"/>
            <w:tcBorders>
              <w:top w:val="single" w:sz="18" w:space="0" w:color="auto"/>
              <w:left w:val="single" w:sz="2" w:space="0" w:color="auto"/>
              <w:bottom w:val="single" w:sz="2" w:space="0" w:color="auto"/>
              <w:right w:val="single" w:sz="18" w:space="0" w:color="auto"/>
            </w:tcBorders>
          </w:tcPr>
          <w:p w14:paraId="242FE411" w14:textId="647BF415" w:rsidR="0097798D" w:rsidRPr="0017336D" w:rsidRDefault="00626870" w:rsidP="004D3EFC">
            <w:pPr>
              <w:rPr>
                <w:rFonts w:ascii="Tahoma" w:hAnsi="Tahoma" w:cs="Tahoma"/>
                <w:sz w:val="20"/>
                <w:szCs w:val="20"/>
              </w:rPr>
            </w:pPr>
            <w:r w:rsidRPr="0017336D">
              <w:rPr>
                <w:rFonts w:ascii="Tahoma" w:hAnsi="Tahoma" w:cs="Tahoma"/>
                <w:sz w:val="20"/>
                <w:szCs w:val="20"/>
              </w:rPr>
              <w:t>Atlantic Technological University</w:t>
            </w:r>
          </w:p>
          <w:p w14:paraId="5C4D215D" w14:textId="77777777" w:rsidR="0097798D" w:rsidRPr="0017336D" w:rsidRDefault="0097798D" w:rsidP="004D3EFC">
            <w:pPr>
              <w:rPr>
                <w:rFonts w:ascii="Tahoma" w:hAnsi="Tahoma" w:cs="Tahoma"/>
                <w:sz w:val="20"/>
                <w:szCs w:val="20"/>
              </w:rPr>
            </w:pPr>
          </w:p>
          <w:p w14:paraId="5FEF72F9" w14:textId="77777777" w:rsidR="004D2E60" w:rsidRPr="0017336D" w:rsidRDefault="004D2E60" w:rsidP="004D2E60">
            <w:pPr>
              <w:rPr>
                <w:rFonts w:ascii="Tahoma" w:hAnsi="Tahoma" w:cs="Tahoma"/>
                <w:sz w:val="20"/>
                <w:szCs w:val="20"/>
              </w:rPr>
            </w:pPr>
            <w:hyperlink r:id="rId8" w:history="1">
              <w:r w:rsidRPr="00C67382">
                <w:rPr>
                  <w:rStyle w:val="Hyperlink"/>
                  <w:rFonts w:ascii="Tahoma" w:hAnsi="Tahoma" w:cs="Tahoma"/>
                  <w:sz w:val="20"/>
                </w:rPr>
                <w:t>https://www.atu.ie/</w:t>
              </w:r>
            </w:hyperlink>
          </w:p>
          <w:p w14:paraId="76C9F7FC" w14:textId="77777777" w:rsidR="0097798D" w:rsidRPr="0017336D" w:rsidRDefault="0097798D" w:rsidP="004D3EFC">
            <w:pPr>
              <w:rPr>
                <w:rFonts w:ascii="Tahoma" w:hAnsi="Tahoma" w:cs="Tahoma"/>
                <w:sz w:val="20"/>
                <w:szCs w:val="20"/>
              </w:rPr>
            </w:pPr>
          </w:p>
        </w:tc>
      </w:tr>
      <w:tr w:rsidR="00CD5CBE" w14:paraId="023404B3" w14:textId="77777777" w:rsidTr="00662E54">
        <w:tc>
          <w:tcPr>
            <w:tcW w:w="2954" w:type="dxa"/>
            <w:tcBorders>
              <w:top w:val="single" w:sz="2" w:space="0" w:color="auto"/>
              <w:left w:val="single" w:sz="18" w:space="0" w:color="auto"/>
              <w:bottom w:val="single" w:sz="2" w:space="0" w:color="auto"/>
              <w:right w:val="single" w:sz="2" w:space="0" w:color="auto"/>
            </w:tcBorders>
          </w:tcPr>
          <w:p w14:paraId="2B837FA4" w14:textId="77777777" w:rsidR="00CD5CBE" w:rsidRDefault="00CD5CBE" w:rsidP="00CD5CBE">
            <w:pPr>
              <w:rPr>
                <w:rFonts w:ascii="Tahoma" w:hAnsi="Tahoma" w:cs="Tahoma"/>
                <w:b/>
                <w:sz w:val="28"/>
                <w:szCs w:val="28"/>
              </w:rPr>
            </w:pPr>
          </w:p>
          <w:p w14:paraId="6EC47E5B" w14:textId="77777777" w:rsidR="00CD5CBE" w:rsidRDefault="00CD5CBE" w:rsidP="00CD5CBE">
            <w:pPr>
              <w:rPr>
                <w:rFonts w:ascii="Tahoma" w:hAnsi="Tahoma" w:cs="Tahoma"/>
                <w:b/>
                <w:sz w:val="28"/>
                <w:szCs w:val="28"/>
              </w:rPr>
            </w:pPr>
            <w:r>
              <w:rPr>
                <w:rFonts w:ascii="Tahoma" w:hAnsi="Tahoma" w:cs="Tahoma"/>
                <w:b/>
                <w:sz w:val="28"/>
                <w:szCs w:val="28"/>
              </w:rPr>
              <w:t>Job Title</w:t>
            </w:r>
          </w:p>
        </w:tc>
        <w:tc>
          <w:tcPr>
            <w:tcW w:w="6586" w:type="dxa"/>
            <w:tcBorders>
              <w:top w:val="single" w:sz="2" w:space="0" w:color="auto"/>
              <w:left w:val="single" w:sz="2" w:space="0" w:color="auto"/>
              <w:bottom w:val="single" w:sz="2" w:space="0" w:color="auto"/>
              <w:right w:val="single" w:sz="18" w:space="0" w:color="auto"/>
            </w:tcBorders>
          </w:tcPr>
          <w:p w14:paraId="55EB95B9" w14:textId="77777777" w:rsidR="00CD5CBE" w:rsidRPr="0017336D" w:rsidRDefault="00CD5CBE" w:rsidP="00CD5CBE">
            <w:pPr>
              <w:rPr>
                <w:rFonts w:ascii="Tahoma" w:hAnsi="Tahoma" w:cs="Tahoma"/>
                <w:sz w:val="20"/>
                <w:szCs w:val="20"/>
              </w:rPr>
            </w:pPr>
          </w:p>
          <w:p w14:paraId="7354404F" w14:textId="23CEB7BF" w:rsidR="00A01950" w:rsidRPr="0017336D" w:rsidRDefault="00F91C05" w:rsidP="00A01950">
            <w:pPr>
              <w:rPr>
                <w:rFonts w:ascii="Tahoma" w:hAnsi="Tahoma" w:cs="Tahoma"/>
                <w:sz w:val="20"/>
                <w:szCs w:val="20"/>
              </w:rPr>
            </w:pPr>
            <w:r w:rsidRPr="00F91C05">
              <w:rPr>
                <w:rFonts w:ascii="Tahoma" w:hAnsi="Tahoma" w:cs="Tahoma"/>
                <w:sz w:val="20"/>
                <w:szCs w:val="20"/>
              </w:rPr>
              <w:t>Lecturer in Veterinary Clinical Decision-Making</w:t>
            </w:r>
          </w:p>
        </w:tc>
      </w:tr>
      <w:tr w:rsidR="00CD5CBE" w14:paraId="5F4B64AD" w14:textId="77777777" w:rsidTr="00662E54">
        <w:tc>
          <w:tcPr>
            <w:tcW w:w="2954" w:type="dxa"/>
            <w:tcBorders>
              <w:top w:val="single" w:sz="2" w:space="0" w:color="auto"/>
              <w:left w:val="single" w:sz="18" w:space="0" w:color="auto"/>
              <w:bottom w:val="single" w:sz="2" w:space="0" w:color="auto"/>
              <w:right w:val="single" w:sz="2" w:space="0" w:color="auto"/>
            </w:tcBorders>
          </w:tcPr>
          <w:p w14:paraId="20A50419" w14:textId="77777777" w:rsidR="00CD5CBE" w:rsidRDefault="00CD5CBE" w:rsidP="00CD5CBE">
            <w:pPr>
              <w:rPr>
                <w:rFonts w:ascii="Tahoma" w:hAnsi="Tahoma" w:cs="Tahoma"/>
                <w:b/>
                <w:sz w:val="28"/>
                <w:szCs w:val="28"/>
              </w:rPr>
            </w:pPr>
          </w:p>
          <w:p w14:paraId="759AE7FB" w14:textId="77777777" w:rsidR="00CD5CBE" w:rsidRDefault="00CD5CBE" w:rsidP="00CD5CBE">
            <w:pPr>
              <w:rPr>
                <w:rFonts w:ascii="Tahoma" w:hAnsi="Tahoma" w:cs="Tahoma"/>
                <w:b/>
                <w:sz w:val="28"/>
                <w:szCs w:val="28"/>
              </w:rPr>
            </w:pPr>
            <w:r>
              <w:rPr>
                <w:rFonts w:ascii="Tahoma" w:hAnsi="Tahoma" w:cs="Tahoma"/>
                <w:b/>
                <w:sz w:val="28"/>
                <w:szCs w:val="28"/>
              </w:rPr>
              <w:t>Reference</w:t>
            </w:r>
          </w:p>
        </w:tc>
        <w:tc>
          <w:tcPr>
            <w:tcW w:w="6586" w:type="dxa"/>
            <w:tcBorders>
              <w:top w:val="single" w:sz="2" w:space="0" w:color="auto"/>
              <w:left w:val="single" w:sz="2" w:space="0" w:color="auto"/>
              <w:bottom w:val="single" w:sz="2" w:space="0" w:color="auto"/>
              <w:right w:val="single" w:sz="18" w:space="0" w:color="auto"/>
            </w:tcBorders>
          </w:tcPr>
          <w:p w14:paraId="5FC25D93" w14:textId="77777777" w:rsidR="00CD5CBE" w:rsidRPr="00F91C05" w:rsidRDefault="00CD5CBE" w:rsidP="00CD5CBE">
            <w:pPr>
              <w:rPr>
                <w:rFonts w:ascii="Tahoma" w:hAnsi="Tahoma" w:cs="Tahoma"/>
                <w:bCs/>
                <w:sz w:val="20"/>
                <w:szCs w:val="20"/>
              </w:rPr>
            </w:pPr>
          </w:p>
          <w:p w14:paraId="0B087A60" w14:textId="23A765DF" w:rsidR="00F91C05" w:rsidRPr="00F91C05" w:rsidRDefault="00F91C05" w:rsidP="00CD5CBE">
            <w:pPr>
              <w:rPr>
                <w:rFonts w:ascii="Tahoma" w:hAnsi="Tahoma" w:cs="Tahoma"/>
                <w:bCs/>
                <w:sz w:val="20"/>
                <w:szCs w:val="20"/>
              </w:rPr>
            </w:pPr>
            <w:r w:rsidRPr="00F91C05">
              <w:rPr>
                <w:rFonts w:ascii="Tahoma" w:hAnsi="Tahoma" w:cs="Tahoma"/>
                <w:bCs/>
                <w:sz w:val="20"/>
                <w:szCs w:val="20"/>
              </w:rPr>
              <w:t>026851</w:t>
            </w:r>
          </w:p>
        </w:tc>
      </w:tr>
      <w:tr w:rsidR="00A51A46" w14:paraId="54A8EA34" w14:textId="77777777" w:rsidTr="00662E54">
        <w:tc>
          <w:tcPr>
            <w:tcW w:w="2954" w:type="dxa"/>
            <w:tcBorders>
              <w:top w:val="single" w:sz="2" w:space="0" w:color="auto"/>
              <w:left w:val="single" w:sz="18" w:space="0" w:color="auto"/>
              <w:bottom w:val="single" w:sz="2" w:space="0" w:color="auto"/>
              <w:right w:val="single" w:sz="2" w:space="0" w:color="auto"/>
            </w:tcBorders>
          </w:tcPr>
          <w:p w14:paraId="48504165" w14:textId="77777777" w:rsidR="00A51A46" w:rsidRDefault="00A51A46" w:rsidP="00CD5CBE">
            <w:pPr>
              <w:rPr>
                <w:rFonts w:ascii="Tahoma" w:hAnsi="Tahoma" w:cs="Tahoma"/>
                <w:b/>
                <w:sz w:val="28"/>
                <w:szCs w:val="28"/>
              </w:rPr>
            </w:pPr>
          </w:p>
          <w:p w14:paraId="548DE3DE" w14:textId="32C846C8" w:rsidR="00A51A46" w:rsidRDefault="00A51A46" w:rsidP="00CD5CBE">
            <w:pPr>
              <w:rPr>
                <w:rFonts w:ascii="Tahoma" w:hAnsi="Tahoma" w:cs="Tahoma"/>
                <w:b/>
                <w:sz w:val="28"/>
                <w:szCs w:val="28"/>
              </w:rPr>
            </w:pPr>
            <w:r>
              <w:rPr>
                <w:rFonts w:ascii="Tahoma" w:hAnsi="Tahoma" w:cs="Tahoma"/>
                <w:b/>
                <w:sz w:val="28"/>
                <w:szCs w:val="28"/>
              </w:rPr>
              <w:t>Location</w:t>
            </w:r>
          </w:p>
        </w:tc>
        <w:tc>
          <w:tcPr>
            <w:tcW w:w="6586" w:type="dxa"/>
            <w:tcBorders>
              <w:top w:val="single" w:sz="2" w:space="0" w:color="auto"/>
              <w:left w:val="single" w:sz="2" w:space="0" w:color="auto"/>
              <w:bottom w:val="single" w:sz="2" w:space="0" w:color="auto"/>
              <w:right w:val="single" w:sz="18" w:space="0" w:color="auto"/>
            </w:tcBorders>
          </w:tcPr>
          <w:p w14:paraId="2182EA47" w14:textId="77777777" w:rsidR="00A51A46" w:rsidRPr="00F91C05" w:rsidRDefault="00A51A46" w:rsidP="00CD5CBE">
            <w:pPr>
              <w:rPr>
                <w:rFonts w:ascii="Tahoma" w:hAnsi="Tahoma" w:cs="Tahoma"/>
                <w:sz w:val="20"/>
                <w:szCs w:val="20"/>
              </w:rPr>
            </w:pPr>
          </w:p>
          <w:p w14:paraId="626B97BC" w14:textId="408428F4" w:rsidR="00A51A46" w:rsidRPr="00F91C05" w:rsidRDefault="00F91C05" w:rsidP="00CD5CBE">
            <w:pPr>
              <w:rPr>
                <w:rFonts w:ascii="Tahoma" w:hAnsi="Tahoma" w:cs="Tahoma"/>
                <w:sz w:val="20"/>
                <w:szCs w:val="20"/>
              </w:rPr>
            </w:pPr>
            <w:r w:rsidRPr="00F91C05">
              <w:rPr>
                <w:rFonts w:ascii="Tahoma" w:hAnsi="Tahoma" w:cs="Tahoma"/>
                <w:sz w:val="20"/>
                <w:szCs w:val="20"/>
              </w:rPr>
              <w:t>Letterkenny Campus</w:t>
            </w:r>
          </w:p>
        </w:tc>
      </w:tr>
      <w:tr w:rsidR="00CD5CBE" w14:paraId="6266D9E8" w14:textId="77777777" w:rsidTr="00662E54">
        <w:tc>
          <w:tcPr>
            <w:tcW w:w="2954" w:type="dxa"/>
            <w:tcBorders>
              <w:top w:val="single" w:sz="2" w:space="0" w:color="auto"/>
              <w:left w:val="single" w:sz="18" w:space="0" w:color="auto"/>
              <w:bottom w:val="single" w:sz="2" w:space="0" w:color="auto"/>
              <w:right w:val="single" w:sz="2" w:space="0" w:color="auto"/>
            </w:tcBorders>
          </w:tcPr>
          <w:p w14:paraId="6A623CB4" w14:textId="77777777" w:rsidR="00CD5CBE" w:rsidRDefault="00CD5CBE" w:rsidP="00CD5CBE">
            <w:pPr>
              <w:rPr>
                <w:rFonts w:ascii="Tahoma" w:hAnsi="Tahoma" w:cs="Tahoma"/>
                <w:b/>
                <w:sz w:val="28"/>
                <w:szCs w:val="28"/>
              </w:rPr>
            </w:pPr>
          </w:p>
          <w:p w14:paraId="55BFA8E5" w14:textId="77777777" w:rsidR="00CD5CBE" w:rsidRDefault="00CD5CBE" w:rsidP="00CD5CBE">
            <w:pPr>
              <w:rPr>
                <w:rFonts w:ascii="Tahoma" w:hAnsi="Tahoma" w:cs="Tahoma"/>
                <w:b/>
                <w:sz w:val="28"/>
                <w:szCs w:val="28"/>
              </w:rPr>
            </w:pPr>
            <w:r>
              <w:rPr>
                <w:rFonts w:ascii="Tahoma" w:hAnsi="Tahoma" w:cs="Tahoma"/>
                <w:b/>
                <w:sz w:val="28"/>
                <w:szCs w:val="28"/>
              </w:rPr>
              <w:t>Closing Date</w:t>
            </w:r>
          </w:p>
        </w:tc>
        <w:tc>
          <w:tcPr>
            <w:tcW w:w="6586" w:type="dxa"/>
            <w:tcBorders>
              <w:top w:val="single" w:sz="2" w:space="0" w:color="auto"/>
              <w:left w:val="single" w:sz="2" w:space="0" w:color="auto"/>
              <w:bottom w:val="single" w:sz="2" w:space="0" w:color="auto"/>
              <w:right w:val="single" w:sz="18" w:space="0" w:color="auto"/>
            </w:tcBorders>
          </w:tcPr>
          <w:p w14:paraId="0328279A" w14:textId="77777777" w:rsidR="00CD5CBE" w:rsidRPr="0017336D" w:rsidRDefault="00CD5CBE" w:rsidP="00CD5CBE">
            <w:pPr>
              <w:rPr>
                <w:rFonts w:ascii="Tahoma" w:hAnsi="Tahoma" w:cs="Tahoma"/>
                <w:sz w:val="20"/>
                <w:szCs w:val="20"/>
              </w:rPr>
            </w:pPr>
          </w:p>
          <w:p w14:paraId="27577D18" w14:textId="79A527DF" w:rsidR="00626870" w:rsidRPr="0017336D" w:rsidRDefault="004A7821" w:rsidP="00CD5CBE">
            <w:pPr>
              <w:rPr>
                <w:rFonts w:ascii="Tahoma" w:hAnsi="Tahoma" w:cs="Tahoma"/>
                <w:sz w:val="20"/>
                <w:szCs w:val="20"/>
              </w:rPr>
            </w:pPr>
            <w:r w:rsidRPr="004A7821">
              <w:rPr>
                <w:rFonts w:ascii="Tahoma" w:hAnsi="Tahoma" w:cs="Tahoma"/>
                <w:b/>
                <w:bCs/>
                <w:sz w:val="20"/>
                <w:szCs w:val="20"/>
                <w:lang w:val="en-IE"/>
              </w:rPr>
              <w:t>Thursday, 7</w:t>
            </w:r>
            <w:r w:rsidRPr="004A7821">
              <w:rPr>
                <w:rFonts w:ascii="Tahoma" w:hAnsi="Tahoma" w:cs="Tahoma"/>
                <w:b/>
                <w:bCs/>
                <w:sz w:val="20"/>
                <w:szCs w:val="20"/>
                <w:vertAlign w:val="superscript"/>
                <w:lang w:val="en-IE"/>
              </w:rPr>
              <w:t>th</w:t>
            </w:r>
            <w:r w:rsidRPr="004A7821">
              <w:rPr>
                <w:rFonts w:ascii="Tahoma" w:hAnsi="Tahoma" w:cs="Tahoma"/>
                <w:b/>
                <w:bCs/>
                <w:sz w:val="20"/>
                <w:szCs w:val="20"/>
                <w:lang w:val="en-IE"/>
              </w:rPr>
              <w:t xml:space="preserve"> May 2026 at 12 noon.</w:t>
            </w:r>
          </w:p>
        </w:tc>
      </w:tr>
      <w:tr w:rsidR="00CD5CBE" w14:paraId="513A7C73" w14:textId="77777777" w:rsidTr="00662E54">
        <w:tc>
          <w:tcPr>
            <w:tcW w:w="2954" w:type="dxa"/>
            <w:tcBorders>
              <w:top w:val="single" w:sz="2" w:space="0" w:color="auto"/>
              <w:left w:val="single" w:sz="18" w:space="0" w:color="auto"/>
              <w:bottom w:val="single" w:sz="2" w:space="0" w:color="auto"/>
              <w:right w:val="single" w:sz="2" w:space="0" w:color="auto"/>
            </w:tcBorders>
          </w:tcPr>
          <w:p w14:paraId="2953698F" w14:textId="77777777" w:rsidR="00CD5CBE" w:rsidRDefault="00CD5CBE" w:rsidP="00CD5CBE">
            <w:pPr>
              <w:rPr>
                <w:rFonts w:ascii="Tahoma" w:hAnsi="Tahoma" w:cs="Tahoma"/>
                <w:b/>
                <w:sz w:val="28"/>
                <w:szCs w:val="28"/>
              </w:rPr>
            </w:pPr>
            <w:r>
              <w:rPr>
                <w:rFonts w:ascii="Tahoma" w:hAnsi="Tahoma" w:cs="Tahoma"/>
                <w:b/>
                <w:sz w:val="28"/>
                <w:szCs w:val="28"/>
              </w:rPr>
              <w:t>Grade</w:t>
            </w:r>
          </w:p>
        </w:tc>
        <w:tc>
          <w:tcPr>
            <w:tcW w:w="6586" w:type="dxa"/>
            <w:tcBorders>
              <w:top w:val="single" w:sz="2" w:space="0" w:color="auto"/>
              <w:left w:val="single" w:sz="2" w:space="0" w:color="auto"/>
              <w:bottom w:val="single" w:sz="2" w:space="0" w:color="auto"/>
              <w:right w:val="single" w:sz="18" w:space="0" w:color="auto"/>
            </w:tcBorders>
          </w:tcPr>
          <w:p w14:paraId="68319553" w14:textId="6E90C58D" w:rsidR="002C3665" w:rsidRPr="0017336D" w:rsidRDefault="00AA7615" w:rsidP="00CD5CBE">
            <w:pPr>
              <w:rPr>
                <w:rFonts w:ascii="Tahoma" w:hAnsi="Tahoma" w:cs="Tahoma"/>
                <w:sz w:val="20"/>
                <w:szCs w:val="20"/>
              </w:rPr>
            </w:pPr>
            <w:r>
              <w:rPr>
                <w:rFonts w:ascii="Tahoma" w:hAnsi="Tahoma" w:cs="Tahoma"/>
                <w:sz w:val="20"/>
                <w:szCs w:val="20"/>
              </w:rPr>
              <w:t>Lecturer</w:t>
            </w:r>
          </w:p>
        </w:tc>
      </w:tr>
      <w:tr w:rsidR="00A908FE" w14:paraId="3AABD503" w14:textId="77777777" w:rsidTr="00662E54">
        <w:tc>
          <w:tcPr>
            <w:tcW w:w="2954" w:type="dxa"/>
            <w:tcBorders>
              <w:top w:val="single" w:sz="2" w:space="0" w:color="auto"/>
              <w:left w:val="single" w:sz="18" w:space="0" w:color="auto"/>
              <w:bottom w:val="single" w:sz="2" w:space="0" w:color="auto"/>
              <w:right w:val="single" w:sz="2" w:space="0" w:color="auto"/>
            </w:tcBorders>
          </w:tcPr>
          <w:p w14:paraId="2F5D6955" w14:textId="51951500" w:rsidR="00A908FE" w:rsidRDefault="00A908FE" w:rsidP="00CD5CBE">
            <w:pPr>
              <w:rPr>
                <w:rFonts w:ascii="Tahoma" w:hAnsi="Tahoma" w:cs="Tahoma"/>
                <w:b/>
                <w:sz w:val="28"/>
                <w:szCs w:val="28"/>
              </w:rPr>
            </w:pPr>
            <w:r>
              <w:rPr>
                <w:rFonts w:ascii="Tahoma" w:hAnsi="Tahoma" w:cs="Tahoma"/>
                <w:b/>
                <w:sz w:val="28"/>
                <w:szCs w:val="28"/>
              </w:rPr>
              <w:t>Contract Type</w:t>
            </w:r>
          </w:p>
        </w:tc>
        <w:tc>
          <w:tcPr>
            <w:tcW w:w="6586" w:type="dxa"/>
            <w:tcBorders>
              <w:top w:val="single" w:sz="2" w:space="0" w:color="auto"/>
              <w:left w:val="single" w:sz="2" w:space="0" w:color="auto"/>
              <w:bottom w:val="single" w:sz="2" w:space="0" w:color="auto"/>
              <w:right w:val="single" w:sz="18" w:space="0" w:color="auto"/>
            </w:tcBorders>
          </w:tcPr>
          <w:p w14:paraId="6FBA78A8" w14:textId="42F7AE3B" w:rsidR="002C3665" w:rsidRDefault="002C3665" w:rsidP="002C3665">
            <w:pPr>
              <w:rPr>
                <w:rFonts w:ascii="Arial" w:hAnsi="Arial" w:cs="Arial"/>
                <w:color w:val="000000" w:themeColor="text1"/>
                <w:sz w:val="20"/>
                <w:szCs w:val="20"/>
              </w:rPr>
            </w:pPr>
            <w:r w:rsidRPr="00F25A35">
              <w:rPr>
                <w:rFonts w:ascii="Arial" w:hAnsi="Arial" w:cs="Arial"/>
                <w:sz w:val="20"/>
                <w:szCs w:val="20"/>
              </w:rPr>
              <w:t xml:space="preserve">Permanent </w:t>
            </w:r>
            <w:r>
              <w:rPr>
                <w:rFonts w:ascii="Arial" w:hAnsi="Arial" w:cs="Arial"/>
                <w:sz w:val="20"/>
                <w:szCs w:val="20"/>
              </w:rPr>
              <w:t>part-time</w:t>
            </w:r>
            <w:r w:rsidRPr="00F25A35">
              <w:rPr>
                <w:rFonts w:ascii="Arial" w:hAnsi="Arial" w:cs="Arial"/>
                <w:sz w:val="20"/>
                <w:szCs w:val="20"/>
              </w:rPr>
              <w:t xml:space="preserve"> </w:t>
            </w:r>
            <w:r>
              <w:rPr>
                <w:rFonts w:ascii="Arial" w:hAnsi="Arial" w:cs="Arial"/>
                <w:sz w:val="20"/>
                <w:szCs w:val="20"/>
              </w:rPr>
              <w:t>(</w:t>
            </w:r>
            <w:r w:rsidRPr="008B50B7">
              <w:rPr>
                <w:rFonts w:ascii="Arial" w:hAnsi="Arial" w:cs="Arial"/>
                <w:color w:val="000000" w:themeColor="text1"/>
                <w:sz w:val="20"/>
                <w:szCs w:val="20"/>
              </w:rPr>
              <w:t>0.5 FTE</w:t>
            </w:r>
            <w:r>
              <w:rPr>
                <w:rFonts w:ascii="Arial" w:hAnsi="Arial" w:cs="Arial"/>
                <w:color w:val="000000" w:themeColor="text1"/>
                <w:sz w:val="20"/>
                <w:szCs w:val="20"/>
              </w:rPr>
              <w:t>)</w:t>
            </w:r>
          </w:p>
          <w:p w14:paraId="2D9EA850" w14:textId="051DDE12" w:rsidR="00A908FE" w:rsidRPr="0017336D" w:rsidRDefault="00A908FE" w:rsidP="00CD5CBE">
            <w:pPr>
              <w:rPr>
                <w:rFonts w:ascii="Tahoma" w:hAnsi="Tahoma" w:cs="Tahoma"/>
                <w:sz w:val="20"/>
                <w:szCs w:val="20"/>
              </w:rPr>
            </w:pPr>
          </w:p>
        </w:tc>
      </w:tr>
      <w:tr w:rsidR="00A908FE" w14:paraId="70E9A012" w14:textId="77777777" w:rsidTr="00662E54">
        <w:tc>
          <w:tcPr>
            <w:tcW w:w="2954" w:type="dxa"/>
            <w:tcBorders>
              <w:top w:val="single" w:sz="2" w:space="0" w:color="auto"/>
              <w:left w:val="single" w:sz="18" w:space="0" w:color="auto"/>
              <w:bottom w:val="single" w:sz="2" w:space="0" w:color="auto"/>
              <w:right w:val="single" w:sz="2" w:space="0" w:color="auto"/>
            </w:tcBorders>
          </w:tcPr>
          <w:p w14:paraId="5E4925B0" w14:textId="78B62F9E" w:rsidR="00A908FE" w:rsidRDefault="00735743" w:rsidP="00CD5CBE">
            <w:pPr>
              <w:rPr>
                <w:rFonts w:ascii="Tahoma" w:hAnsi="Tahoma" w:cs="Tahoma"/>
                <w:b/>
                <w:sz w:val="28"/>
                <w:szCs w:val="28"/>
              </w:rPr>
            </w:pPr>
            <w:r>
              <w:rPr>
                <w:rFonts w:ascii="Tahoma" w:hAnsi="Tahoma" w:cs="Tahoma"/>
                <w:b/>
                <w:sz w:val="28"/>
                <w:szCs w:val="28"/>
              </w:rPr>
              <w:t>Hours</w:t>
            </w:r>
          </w:p>
        </w:tc>
        <w:tc>
          <w:tcPr>
            <w:tcW w:w="6586" w:type="dxa"/>
            <w:tcBorders>
              <w:top w:val="single" w:sz="2" w:space="0" w:color="auto"/>
              <w:left w:val="single" w:sz="2" w:space="0" w:color="auto"/>
              <w:bottom w:val="single" w:sz="2" w:space="0" w:color="auto"/>
              <w:right w:val="single" w:sz="18" w:space="0" w:color="auto"/>
            </w:tcBorders>
          </w:tcPr>
          <w:p w14:paraId="3737C0BB" w14:textId="6344B705" w:rsidR="00A908FE" w:rsidRPr="0017336D" w:rsidRDefault="002C3665" w:rsidP="00CD5CBE">
            <w:pPr>
              <w:rPr>
                <w:rFonts w:ascii="Tahoma" w:hAnsi="Tahoma" w:cs="Tahoma"/>
                <w:sz w:val="20"/>
                <w:szCs w:val="20"/>
              </w:rPr>
            </w:pPr>
            <w:r>
              <w:rPr>
                <w:rFonts w:ascii="Tahoma" w:hAnsi="Tahoma" w:cs="Tahoma"/>
                <w:sz w:val="20"/>
                <w:szCs w:val="20"/>
              </w:rPr>
              <w:t>Full time</w:t>
            </w:r>
          </w:p>
        </w:tc>
      </w:tr>
      <w:tr w:rsidR="00CD5CBE" w14:paraId="673518BA" w14:textId="77777777" w:rsidTr="00662E54">
        <w:tc>
          <w:tcPr>
            <w:tcW w:w="2954" w:type="dxa"/>
            <w:tcBorders>
              <w:top w:val="single" w:sz="2" w:space="0" w:color="auto"/>
              <w:left w:val="single" w:sz="18" w:space="0" w:color="auto"/>
              <w:bottom w:val="single" w:sz="2" w:space="0" w:color="auto"/>
              <w:right w:val="single" w:sz="2" w:space="0" w:color="auto"/>
            </w:tcBorders>
          </w:tcPr>
          <w:p w14:paraId="675C3CE7" w14:textId="77777777" w:rsidR="00CD5CBE" w:rsidRDefault="00CD5CBE" w:rsidP="00CD5CBE">
            <w:pPr>
              <w:rPr>
                <w:rFonts w:ascii="Tahoma" w:hAnsi="Tahoma" w:cs="Tahoma"/>
                <w:b/>
                <w:sz w:val="28"/>
                <w:szCs w:val="28"/>
              </w:rPr>
            </w:pPr>
            <w:r>
              <w:rPr>
                <w:rFonts w:ascii="Tahoma" w:hAnsi="Tahoma" w:cs="Tahoma"/>
                <w:b/>
                <w:sz w:val="28"/>
                <w:szCs w:val="28"/>
              </w:rPr>
              <w:t>Apply to</w:t>
            </w:r>
          </w:p>
        </w:tc>
        <w:tc>
          <w:tcPr>
            <w:tcW w:w="6586" w:type="dxa"/>
            <w:tcBorders>
              <w:top w:val="single" w:sz="2" w:space="0" w:color="auto"/>
              <w:left w:val="single" w:sz="2" w:space="0" w:color="auto"/>
              <w:bottom w:val="single" w:sz="2" w:space="0" w:color="auto"/>
              <w:right w:val="single" w:sz="18" w:space="0" w:color="auto"/>
            </w:tcBorders>
          </w:tcPr>
          <w:p w14:paraId="5CF6129E" w14:textId="09B8F964" w:rsidR="00626870" w:rsidRPr="0017336D" w:rsidRDefault="003B4A64" w:rsidP="00CD5CBE">
            <w:pPr>
              <w:rPr>
                <w:rFonts w:ascii="Tahoma" w:hAnsi="Tahoma" w:cs="Tahoma"/>
                <w:sz w:val="20"/>
                <w:szCs w:val="20"/>
              </w:rPr>
            </w:pPr>
            <w:hyperlink r:id="rId9" w:history="1">
              <w:r w:rsidRPr="0020479A">
                <w:rPr>
                  <w:rStyle w:val="Hyperlink"/>
                </w:rPr>
                <w:t>www.atu.ie/connect/jobs</w:t>
              </w:r>
            </w:hyperlink>
            <w:r>
              <w:t xml:space="preserve"> </w:t>
            </w:r>
          </w:p>
        </w:tc>
      </w:tr>
      <w:tr w:rsidR="00CD5CBE" w14:paraId="4CD44303" w14:textId="77777777" w:rsidTr="00662E54">
        <w:tc>
          <w:tcPr>
            <w:tcW w:w="2954" w:type="dxa"/>
            <w:tcBorders>
              <w:top w:val="single" w:sz="2" w:space="0" w:color="auto"/>
              <w:left w:val="single" w:sz="18" w:space="0" w:color="auto"/>
              <w:bottom w:val="single" w:sz="2" w:space="0" w:color="auto"/>
              <w:right w:val="single" w:sz="2" w:space="0" w:color="auto"/>
            </w:tcBorders>
          </w:tcPr>
          <w:p w14:paraId="7B0295E5" w14:textId="77777777" w:rsidR="00CD5CBE" w:rsidRDefault="00CD5CBE" w:rsidP="00CD5CBE">
            <w:pPr>
              <w:rPr>
                <w:rFonts w:ascii="Tahoma" w:hAnsi="Tahoma" w:cs="Tahoma"/>
                <w:b/>
                <w:sz w:val="28"/>
                <w:szCs w:val="28"/>
              </w:rPr>
            </w:pPr>
          </w:p>
          <w:p w14:paraId="2D3D7BD6" w14:textId="77777777" w:rsidR="00CD5CBE" w:rsidRDefault="00CD5CBE" w:rsidP="00CD5CBE">
            <w:pPr>
              <w:rPr>
                <w:rFonts w:ascii="Tahoma" w:hAnsi="Tahoma" w:cs="Tahoma"/>
                <w:b/>
                <w:sz w:val="28"/>
                <w:szCs w:val="28"/>
              </w:rPr>
            </w:pPr>
            <w:r>
              <w:rPr>
                <w:rFonts w:ascii="Tahoma" w:hAnsi="Tahoma" w:cs="Tahoma"/>
                <w:b/>
                <w:sz w:val="28"/>
                <w:szCs w:val="28"/>
              </w:rPr>
              <w:t>Description of Post</w:t>
            </w:r>
          </w:p>
        </w:tc>
        <w:tc>
          <w:tcPr>
            <w:tcW w:w="6586" w:type="dxa"/>
            <w:tcBorders>
              <w:top w:val="single" w:sz="2" w:space="0" w:color="auto"/>
              <w:left w:val="single" w:sz="2" w:space="0" w:color="auto"/>
              <w:bottom w:val="single" w:sz="2" w:space="0" w:color="auto"/>
              <w:right w:val="single" w:sz="18" w:space="0" w:color="auto"/>
            </w:tcBorders>
          </w:tcPr>
          <w:p w14:paraId="50682E2D" w14:textId="77777777" w:rsidR="006141D0" w:rsidRPr="006141D0" w:rsidRDefault="006141D0" w:rsidP="006141D0">
            <w:pPr>
              <w:spacing w:after="160" w:line="259" w:lineRule="auto"/>
              <w:jc w:val="both"/>
              <w:rPr>
                <w:rFonts w:ascii="Tahoma" w:hAnsi="Tahoma" w:cs="Tahoma"/>
                <w:sz w:val="20"/>
                <w:szCs w:val="20"/>
              </w:rPr>
            </w:pPr>
            <w:r w:rsidRPr="006141D0">
              <w:rPr>
                <w:rFonts w:ascii="Tahoma" w:hAnsi="Tahoma" w:cs="Tahoma"/>
                <w:sz w:val="20"/>
                <w:szCs w:val="20"/>
              </w:rPr>
              <w:t>The successful candidate will contribute to teaching and curriculum development focused on clinical decision-making, digital veterinary practice, and applied parasitology, reflecting the realities of contemporary veterinary medicine including telemedicine-supported care, distributed decision-making and increasing diagnostic complexity.</w:t>
            </w:r>
          </w:p>
          <w:p w14:paraId="47C066FD" w14:textId="77777777" w:rsidR="006141D0" w:rsidRPr="006141D0" w:rsidRDefault="006141D0" w:rsidP="006141D0">
            <w:pPr>
              <w:spacing w:after="160" w:line="259" w:lineRule="auto"/>
              <w:jc w:val="both"/>
              <w:rPr>
                <w:rFonts w:ascii="Tahoma" w:hAnsi="Tahoma" w:cs="Tahoma"/>
                <w:sz w:val="20"/>
                <w:szCs w:val="20"/>
              </w:rPr>
            </w:pPr>
            <w:r w:rsidRPr="006141D0">
              <w:rPr>
                <w:rFonts w:ascii="Tahoma" w:hAnsi="Tahoma" w:cs="Tahoma"/>
                <w:sz w:val="20"/>
                <w:szCs w:val="20"/>
              </w:rPr>
              <w:t>The role will support the integration of human factors, clinical reasoning, antimicrobial and antiparasitic stewardship, and safe decision-making under uncertainty into the veterinary curriculum.</w:t>
            </w:r>
          </w:p>
          <w:p w14:paraId="3B3BCE4E" w14:textId="77777777" w:rsidR="006141D0" w:rsidRPr="006141D0" w:rsidRDefault="006141D0" w:rsidP="006141D0">
            <w:pPr>
              <w:spacing w:after="160" w:line="259" w:lineRule="auto"/>
              <w:jc w:val="both"/>
              <w:rPr>
                <w:rFonts w:ascii="Tahoma" w:hAnsi="Tahoma" w:cs="Tahoma"/>
                <w:sz w:val="20"/>
                <w:szCs w:val="20"/>
              </w:rPr>
            </w:pPr>
            <w:r w:rsidRPr="006141D0">
              <w:rPr>
                <w:rFonts w:ascii="Tahoma" w:hAnsi="Tahoma" w:cs="Tahoma"/>
                <w:sz w:val="20"/>
                <w:szCs w:val="20"/>
              </w:rPr>
              <w:t>The position will also support the development of research in areas including clinical reasoning, decision support systems and veterinary telemedicine.</w:t>
            </w:r>
          </w:p>
          <w:p w14:paraId="00664A60" w14:textId="77777777" w:rsidR="006141D0" w:rsidRPr="006141D0" w:rsidRDefault="006141D0" w:rsidP="006141D0">
            <w:pPr>
              <w:spacing w:after="160" w:line="259" w:lineRule="auto"/>
              <w:jc w:val="both"/>
              <w:rPr>
                <w:rFonts w:ascii="Tahoma" w:hAnsi="Tahoma" w:cs="Tahoma"/>
                <w:sz w:val="20"/>
                <w:szCs w:val="20"/>
              </w:rPr>
            </w:pPr>
            <w:r w:rsidRPr="006141D0">
              <w:rPr>
                <w:rFonts w:ascii="Tahoma" w:hAnsi="Tahoma" w:cs="Tahoma"/>
                <w:sz w:val="20"/>
                <w:szCs w:val="20"/>
              </w:rPr>
              <w:t>This role will operate at the interface between clinical practice, digital veterinary technologies and veterinary education, contributing to the development of innovative approaches to teaching veterinary decision-making.</w:t>
            </w:r>
          </w:p>
          <w:p w14:paraId="6F3FF5A7" w14:textId="77777777" w:rsidR="006141D0" w:rsidRPr="006141D0" w:rsidRDefault="006141D0" w:rsidP="006141D0">
            <w:pPr>
              <w:spacing w:after="160" w:line="259" w:lineRule="auto"/>
              <w:jc w:val="both"/>
              <w:rPr>
                <w:rFonts w:ascii="Tahoma" w:hAnsi="Tahoma" w:cs="Tahoma"/>
                <w:sz w:val="20"/>
                <w:szCs w:val="20"/>
              </w:rPr>
            </w:pPr>
            <w:r w:rsidRPr="006141D0">
              <w:rPr>
                <w:rFonts w:ascii="Tahoma" w:hAnsi="Tahoma" w:cs="Tahoma"/>
                <w:sz w:val="20"/>
                <w:szCs w:val="20"/>
              </w:rPr>
              <w:t>Modern veterinary practice increasingly involves complex clinical decisions made under time pressure and uncertainty, often supported by digital systems and distributed clinical teams.</w:t>
            </w:r>
          </w:p>
          <w:p w14:paraId="03BFEB07" w14:textId="77777777" w:rsidR="006141D0" w:rsidRPr="006141D0" w:rsidRDefault="006141D0" w:rsidP="006141D0">
            <w:pPr>
              <w:spacing w:after="160" w:line="259" w:lineRule="auto"/>
              <w:jc w:val="both"/>
              <w:rPr>
                <w:rFonts w:ascii="Tahoma" w:hAnsi="Tahoma" w:cs="Tahoma"/>
                <w:sz w:val="20"/>
                <w:szCs w:val="20"/>
              </w:rPr>
            </w:pPr>
            <w:r w:rsidRPr="006141D0">
              <w:rPr>
                <w:rFonts w:ascii="Tahoma" w:hAnsi="Tahoma" w:cs="Tahoma"/>
                <w:sz w:val="20"/>
                <w:szCs w:val="20"/>
              </w:rPr>
              <w:t>This role will support the development of veterinary graduates who are able to:</w:t>
            </w:r>
          </w:p>
          <w:p w14:paraId="74A827DB" w14:textId="77777777" w:rsidR="006141D0" w:rsidRPr="006141D0" w:rsidRDefault="006141D0" w:rsidP="006141D0">
            <w:pPr>
              <w:spacing w:after="160" w:line="259" w:lineRule="auto"/>
              <w:jc w:val="both"/>
              <w:rPr>
                <w:rFonts w:ascii="Tahoma" w:hAnsi="Tahoma" w:cs="Tahoma"/>
                <w:sz w:val="20"/>
                <w:szCs w:val="20"/>
              </w:rPr>
            </w:pPr>
            <w:r w:rsidRPr="006141D0">
              <w:rPr>
                <w:rFonts w:ascii="Tahoma" w:hAnsi="Tahoma" w:cs="Tahoma"/>
                <w:sz w:val="20"/>
                <w:szCs w:val="20"/>
              </w:rPr>
              <w:t>• reason effectively under uncertainty</w:t>
            </w:r>
          </w:p>
          <w:p w14:paraId="720E053A" w14:textId="77777777" w:rsidR="006141D0" w:rsidRPr="006141D0" w:rsidRDefault="006141D0" w:rsidP="006141D0">
            <w:pPr>
              <w:spacing w:after="160" w:line="259" w:lineRule="auto"/>
              <w:jc w:val="both"/>
              <w:rPr>
                <w:rFonts w:ascii="Tahoma" w:hAnsi="Tahoma" w:cs="Tahoma"/>
                <w:sz w:val="20"/>
                <w:szCs w:val="20"/>
              </w:rPr>
            </w:pPr>
            <w:r w:rsidRPr="006141D0">
              <w:rPr>
                <w:rFonts w:ascii="Tahoma" w:hAnsi="Tahoma" w:cs="Tahoma"/>
                <w:sz w:val="20"/>
                <w:szCs w:val="20"/>
              </w:rPr>
              <w:t>• use digital decision support responsibly</w:t>
            </w:r>
          </w:p>
          <w:p w14:paraId="1EEB67E6" w14:textId="77777777" w:rsidR="006141D0" w:rsidRPr="006141D0" w:rsidRDefault="006141D0" w:rsidP="006141D0">
            <w:pPr>
              <w:spacing w:after="160" w:line="259" w:lineRule="auto"/>
              <w:jc w:val="both"/>
              <w:rPr>
                <w:rFonts w:ascii="Tahoma" w:hAnsi="Tahoma" w:cs="Tahoma"/>
                <w:sz w:val="20"/>
                <w:szCs w:val="20"/>
              </w:rPr>
            </w:pPr>
            <w:r w:rsidRPr="006141D0">
              <w:rPr>
                <w:rFonts w:ascii="Tahoma" w:hAnsi="Tahoma" w:cs="Tahoma"/>
                <w:sz w:val="20"/>
                <w:szCs w:val="20"/>
              </w:rPr>
              <w:t>• apply evidence-based prescribing and parasite control strategies</w:t>
            </w:r>
          </w:p>
          <w:p w14:paraId="47FDB6B3" w14:textId="77777777" w:rsidR="006141D0" w:rsidRPr="006141D0" w:rsidRDefault="006141D0" w:rsidP="006141D0">
            <w:pPr>
              <w:spacing w:after="160" w:line="259" w:lineRule="auto"/>
              <w:jc w:val="both"/>
              <w:rPr>
                <w:rFonts w:ascii="Tahoma" w:hAnsi="Tahoma" w:cs="Tahoma"/>
                <w:sz w:val="20"/>
                <w:szCs w:val="20"/>
              </w:rPr>
            </w:pPr>
            <w:r w:rsidRPr="006141D0">
              <w:rPr>
                <w:rFonts w:ascii="Tahoma" w:hAnsi="Tahoma" w:cs="Tahoma"/>
                <w:sz w:val="20"/>
                <w:szCs w:val="20"/>
              </w:rPr>
              <w:t>• recognise and manage risk in clinical decision-making.</w:t>
            </w:r>
          </w:p>
          <w:p w14:paraId="518DED45" w14:textId="57C38E8E" w:rsidR="00CD5CBE" w:rsidRPr="006141D0" w:rsidRDefault="006141D0" w:rsidP="006F0ADF">
            <w:pPr>
              <w:spacing w:after="160" w:line="259" w:lineRule="auto"/>
              <w:jc w:val="both"/>
              <w:rPr>
                <w:rFonts w:ascii="Tahoma" w:hAnsi="Tahoma" w:cs="Tahoma"/>
                <w:sz w:val="20"/>
                <w:szCs w:val="20"/>
              </w:rPr>
            </w:pPr>
            <w:r w:rsidRPr="006141D0">
              <w:rPr>
                <w:rFonts w:ascii="Tahoma" w:hAnsi="Tahoma" w:cs="Tahoma"/>
                <w:sz w:val="20"/>
                <w:szCs w:val="20"/>
              </w:rPr>
              <w:lastRenderedPageBreak/>
              <w:t>The position will contribute to ATU’s ambition to develop future-ready veterinarians equipped to practise safely and effectively in modern veterinary environments.</w:t>
            </w:r>
          </w:p>
        </w:tc>
      </w:tr>
      <w:tr w:rsidR="00CD5CBE" w14:paraId="21152785" w14:textId="77777777" w:rsidTr="00662E54">
        <w:tc>
          <w:tcPr>
            <w:tcW w:w="2954" w:type="dxa"/>
            <w:tcBorders>
              <w:top w:val="single" w:sz="2" w:space="0" w:color="auto"/>
              <w:left w:val="single" w:sz="18" w:space="0" w:color="auto"/>
              <w:bottom w:val="single" w:sz="2" w:space="0" w:color="auto"/>
              <w:right w:val="single" w:sz="2" w:space="0" w:color="auto"/>
            </w:tcBorders>
          </w:tcPr>
          <w:p w14:paraId="061BA6DB" w14:textId="77777777" w:rsidR="00CD5CBE" w:rsidRDefault="00CD5CBE" w:rsidP="00CD5CBE">
            <w:pPr>
              <w:rPr>
                <w:rFonts w:ascii="Tahoma" w:hAnsi="Tahoma" w:cs="Tahoma"/>
                <w:b/>
                <w:sz w:val="28"/>
                <w:szCs w:val="28"/>
              </w:rPr>
            </w:pPr>
          </w:p>
          <w:p w14:paraId="6DDCCE16" w14:textId="77777777" w:rsidR="00CD5CBE" w:rsidRDefault="00CD5CBE" w:rsidP="00CD5CBE">
            <w:pPr>
              <w:rPr>
                <w:rFonts w:ascii="Tahoma" w:hAnsi="Tahoma" w:cs="Tahoma"/>
                <w:b/>
                <w:sz w:val="28"/>
                <w:szCs w:val="28"/>
              </w:rPr>
            </w:pPr>
            <w:r>
              <w:rPr>
                <w:rFonts w:ascii="Tahoma" w:hAnsi="Tahoma" w:cs="Tahoma"/>
                <w:b/>
                <w:sz w:val="28"/>
                <w:szCs w:val="28"/>
              </w:rPr>
              <w:t>Essential</w:t>
            </w:r>
          </w:p>
          <w:p w14:paraId="4ADB1A7A" w14:textId="77777777" w:rsidR="00CD5CBE" w:rsidRDefault="00CD5CBE" w:rsidP="00CD5CBE">
            <w:pPr>
              <w:rPr>
                <w:rFonts w:ascii="Tahoma" w:hAnsi="Tahoma" w:cs="Tahoma"/>
                <w:b/>
                <w:sz w:val="28"/>
                <w:szCs w:val="28"/>
              </w:rPr>
            </w:pPr>
            <w:r>
              <w:rPr>
                <w:rFonts w:ascii="Tahoma" w:hAnsi="Tahoma" w:cs="Tahoma"/>
                <w:b/>
                <w:sz w:val="28"/>
                <w:szCs w:val="28"/>
              </w:rPr>
              <w:t>Qualifications</w:t>
            </w:r>
          </w:p>
          <w:p w14:paraId="52939728" w14:textId="77777777" w:rsidR="00CD5CBE" w:rsidRDefault="00CD5CBE" w:rsidP="00CD5CBE">
            <w:pPr>
              <w:rPr>
                <w:rFonts w:ascii="Tahoma" w:hAnsi="Tahoma" w:cs="Tahoma"/>
                <w:b/>
                <w:sz w:val="28"/>
                <w:szCs w:val="28"/>
              </w:rPr>
            </w:pPr>
          </w:p>
        </w:tc>
        <w:tc>
          <w:tcPr>
            <w:tcW w:w="6586" w:type="dxa"/>
            <w:tcBorders>
              <w:top w:val="single" w:sz="2" w:space="0" w:color="auto"/>
              <w:left w:val="single" w:sz="2" w:space="0" w:color="auto"/>
              <w:bottom w:val="single" w:sz="2" w:space="0" w:color="auto"/>
              <w:right w:val="single" w:sz="18" w:space="0" w:color="auto"/>
            </w:tcBorders>
          </w:tcPr>
          <w:p w14:paraId="5C9430A9" w14:textId="08D97098" w:rsidR="002B170D" w:rsidRPr="002B170D" w:rsidRDefault="002B170D" w:rsidP="002B170D">
            <w:pPr>
              <w:spacing w:before="120" w:after="160" w:line="252" w:lineRule="auto"/>
              <w:rPr>
                <w:rFonts w:ascii="Tahoma" w:eastAsiaTheme="minorHAnsi" w:hAnsi="Tahoma" w:cs="Tahoma"/>
                <w:sz w:val="20"/>
                <w:szCs w:val="20"/>
                <w:lang w:val="en-IE"/>
              </w:rPr>
            </w:pPr>
            <w:r w:rsidRPr="002B170D">
              <w:rPr>
                <w:rFonts w:ascii="Tahoma" w:eastAsiaTheme="minorHAnsi" w:hAnsi="Tahoma" w:cs="Tahoma"/>
                <w:sz w:val="20"/>
                <w:szCs w:val="20"/>
                <w:lang w:val="en-IE"/>
              </w:rPr>
              <w:t>• An honours degree in Veterinary Medicine from a recognised degree awarding body.</w:t>
            </w:r>
            <w:r w:rsidRPr="002B170D">
              <w:rPr>
                <w:rFonts w:ascii="Tahoma" w:eastAsiaTheme="minorHAnsi" w:hAnsi="Tahoma" w:cs="Tahoma"/>
                <w:sz w:val="20"/>
                <w:szCs w:val="20"/>
                <w:lang w:val="en-IE"/>
              </w:rPr>
              <w:br/>
              <w:t>• Registration, or eligibility for registration, with the Veterinary Council of Ireland as a Veterinary Practitioner.</w:t>
            </w:r>
            <w:r w:rsidRPr="002B170D">
              <w:rPr>
                <w:rFonts w:ascii="Tahoma" w:eastAsiaTheme="minorHAnsi" w:hAnsi="Tahoma" w:cs="Tahoma"/>
                <w:sz w:val="20"/>
                <w:szCs w:val="20"/>
                <w:lang w:val="en-IE"/>
              </w:rPr>
              <w:br/>
              <w:t>• A Master’s Degree in a relevant Level 9 programme (NFQ) or equivalent.</w:t>
            </w:r>
            <w:r w:rsidRPr="002B170D">
              <w:rPr>
                <w:rFonts w:ascii="Tahoma" w:eastAsiaTheme="minorHAnsi" w:hAnsi="Tahoma" w:cs="Tahoma"/>
                <w:sz w:val="20"/>
                <w:szCs w:val="20"/>
                <w:lang w:val="en-IE"/>
              </w:rPr>
              <w:br/>
              <w:t>• A minimum of three years relevant post-qualification clinical or professional experience.</w:t>
            </w:r>
            <w:r w:rsidRPr="002B170D">
              <w:rPr>
                <w:rFonts w:ascii="Tahoma" w:eastAsiaTheme="minorHAnsi" w:hAnsi="Tahoma" w:cs="Tahoma"/>
                <w:sz w:val="20"/>
                <w:szCs w:val="20"/>
                <w:lang w:val="en-IE"/>
              </w:rPr>
              <w:br/>
              <w:t>• Demonstrated experience in veterinary clinical practice and decision-making.</w:t>
            </w:r>
          </w:p>
          <w:p w14:paraId="662E80EE" w14:textId="7B05E99C" w:rsidR="00CD5CBE" w:rsidRPr="002B170D" w:rsidRDefault="002B170D" w:rsidP="00144711">
            <w:pPr>
              <w:spacing w:before="120" w:after="160" w:line="252" w:lineRule="auto"/>
              <w:rPr>
                <w:rFonts w:ascii="Tahoma" w:eastAsiaTheme="minorHAnsi" w:hAnsi="Tahoma" w:cs="Tahoma"/>
                <w:sz w:val="20"/>
                <w:szCs w:val="20"/>
                <w:lang w:val="en-IE"/>
              </w:rPr>
            </w:pPr>
            <w:r w:rsidRPr="002B170D">
              <w:rPr>
                <w:rFonts w:ascii="Tahoma" w:eastAsiaTheme="minorHAnsi" w:hAnsi="Tahoma" w:cs="Tahoma"/>
                <w:sz w:val="20"/>
                <w:szCs w:val="20"/>
                <w:lang w:val="en-IE"/>
              </w:rPr>
              <w:t>Applicants must have completed a suitable teaching and learning programme in line with the requirements of the Veterinary Council of Ireland. An applicant who has not completed such training will be deemed to have met the minimum requirements upon receipt of a commitment to commence appropriate training within one year of appointment.</w:t>
            </w:r>
          </w:p>
        </w:tc>
      </w:tr>
      <w:tr w:rsidR="00297058" w14:paraId="5214120F" w14:textId="77777777" w:rsidTr="00662E54">
        <w:trPr>
          <w:trHeight w:val="183"/>
        </w:trPr>
        <w:tc>
          <w:tcPr>
            <w:tcW w:w="2954" w:type="dxa"/>
            <w:tcBorders>
              <w:top w:val="single" w:sz="2" w:space="0" w:color="auto"/>
              <w:left w:val="single" w:sz="18" w:space="0" w:color="auto"/>
              <w:bottom w:val="single" w:sz="18" w:space="0" w:color="auto"/>
              <w:right w:val="single" w:sz="2" w:space="0" w:color="auto"/>
            </w:tcBorders>
          </w:tcPr>
          <w:p w14:paraId="7F3B2EF0" w14:textId="77777777" w:rsidR="00297058" w:rsidRDefault="00297058" w:rsidP="00297058">
            <w:pPr>
              <w:rPr>
                <w:rFonts w:ascii="Tahoma" w:hAnsi="Tahoma" w:cs="Tahoma"/>
                <w:b/>
                <w:sz w:val="28"/>
                <w:szCs w:val="28"/>
              </w:rPr>
            </w:pPr>
            <w:r>
              <w:rPr>
                <w:rFonts w:ascii="Tahoma" w:hAnsi="Tahoma" w:cs="Tahoma"/>
                <w:b/>
                <w:sz w:val="28"/>
                <w:szCs w:val="28"/>
              </w:rPr>
              <w:t>Salary</w:t>
            </w:r>
          </w:p>
        </w:tc>
        <w:tc>
          <w:tcPr>
            <w:tcW w:w="6586" w:type="dxa"/>
            <w:tcBorders>
              <w:top w:val="single" w:sz="2" w:space="0" w:color="auto"/>
              <w:left w:val="single" w:sz="2" w:space="0" w:color="auto"/>
              <w:bottom w:val="single" w:sz="18" w:space="0" w:color="auto"/>
              <w:right w:val="single" w:sz="18" w:space="0" w:color="auto"/>
            </w:tcBorders>
          </w:tcPr>
          <w:p w14:paraId="2AA33424" w14:textId="49F79EEA" w:rsidR="00297058" w:rsidRPr="0017336D" w:rsidRDefault="00A82280" w:rsidP="00934A82">
            <w:pPr>
              <w:spacing w:after="160" w:line="259" w:lineRule="auto"/>
              <w:rPr>
                <w:rFonts w:ascii="Tahoma" w:eastAsia="MS Mincho" w:hAnsi="Tahoma" w:cs="Tahoma"/>
                <w:sz w:val="20"/>
                <w:szCs w:val="20"/>
              </w:rPr>
            </w:pPr>
            <w:r w:rsidRPr="00A82280">
              <w:rPr>
                <w:rFonts w:ascii="Arial" w:hAnsi="Arial" w:cs="Arial"/>
                <w:sz w:val="20"/>
                <w:szCs w:val="20"/>
              </w:rPr>
              <w:t>€68,936 – €106,661 (11 points)</w:t>
            </w:r>
          </w:p>
        </w:tc>
      </w:tr>
    </w:tbl>
    <w:p w14:paraId="687E0E9D" w14:textId="77777777" w:rsidR="0097798D" w:rsidRDefault="0097798D" w:rsidP="0097798D">
      <w:pPr>
        <w:jc w:val="center"/>
        <w:rPr>
          <w:rFonts w:ascii="Franklin Gothic Book" w:hAnsi="Franklin Gothic Book" w:cs="Tahoma"/>
          <w:b/>
          <w:sz w:val="20"/>
          <w:szCs w:val="20"/>
        </w:rPr>
      </w:pPr>
    </w:p>
    <w:p w14:paraId="5C8A7488" w14:textId="77777777" w:rsidR="0097798D" w:rsidRDefault="0097798D"/>
    <w:sectPr w:rsidR="00977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DE2469"/>
    <w:multiLevelType w:val="hybridMultilevel"/>
    <w:tmpl w:val="13C01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AF0B22"/>
    <w:multiLevelType w:val="hybridMultilevel"/>
    <w:tmpl w:val="03345858"/>
    <w:lvl w:ilvl="0" w:tplc="4C04C878">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9804E6"/>
    <w:multiLevelType w:val="hybridMultilevel"/>
    <w:tmpl w:val="32CAC1A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1C10360A"/>
    <w:multiLevelType w:val="hybridMultilevel"/>
    <w:tmpl w:val="6FB25B7C"/>
    <w:lvl w:ilvl="0" w:tplc="FFFFFFFF">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1432F6"/>
    <w:multiLevelType w:val="hybridMultilevel"/>
    <w:tmpl w:val="8E40CC78"/>
    <w:lvl w:ilvl="0" w:tplc="FFFFFFFF">
      <w:numFmt w:val="bullet"/>
      <w:lvlText w:val=""/>
      <w:legacy w:legacy="1" w:legacySpace="0" w:legacyIndent="360"/>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FA507F"/>
    <w:multiLevelType w:val="hybridMultilevel"/>
    <w:tmpl w:val="B0567E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BA5446C"/>
    <w:multiLevelType w:val="hybridMultilevel"/>
    <w:tmpl w:val="27FC71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E747F1D"/>
    <w:multiLevelType w:val="hybridMultilevel"/>
    <w:tmpl w:val="9FF2B5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FB0BB6"/>
    <w:multiLevelType w:val="hybridMultilevel"/>
    <w:tmpl w:val="0F244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F1F6412"/>
    <w:multiLevelType w:val="hybridMultilevel"/>
    <w:tmpl w:val="FFFFFFFF"/>
    <w:lvl w:ilvl="0" w:tplc="03984600">
      <w:start w:val="1"/>
      <w:numFmt w:val="bullet"/>
      <w:lvlText w:val=""/>
      <w:lvlJc w:val="left"/>
      <w:pPr>
        <w:ind w:left="360" w:hanging="360"/>
      </w:pPr>
      <w:rPr>
        <w:rFonts w:ascii="Symbol" w:hAnsi="Symbol" w:hint="default"/>
      </w:rPr>
    </w:lvl>
    <w:lvl w:ilvl="1" w:tplc="CCCEAB22">
      <w:start w:val="1"/>
      <w:numFmt w:val="bullet"/>
      <w:lvlText w:val="o"/>
      <w:lvlJc w:val="left"/>
      <w:pPr>
        <w:ind w:left="1080" w:hanging="360"/>
      </w:pPr>
      <w:rPr>
        <w:rFonts w:ascii="Courier New" w:hAnsi="Courier New" w:hint="default"/>
      </w:rPr>
    </w:lvl>
    <w:lvl w:ilvl="2" w:tplc="EB82789C">
      <w:start w:val="1"/>
      <w:numFmt w:val="bullet"/>
      <w:lvlText w:val=""/>
      <w:lvlJc w:val="left"/>
      <w:pPr>
        <w:ind w:left="1800" w:hanging="360"/>
      </w:pPr>
      <w:rPr>
        <w:rFonts w:ascii="Wingdings" w:hAnsi="Wingdings" w:hint="default"/>
      </w:rPr>
    </w:lvl>
    <w:lvl w:ilvl="3" w:tplc="94FE7234">
      <w:start w:val="1"/>
      <w:numFmt w:val="bullet"/>
      <w:lvlText w:val=""/>
      <w:lvlJc w:val="left"/>
      <w:pPr>
        <w:ind w:left="2520" w:hanging="360"/>
      </w:pPr>
      <w:rPr>
        <w:rFonts w:ascii="Symbol" w:hAnsi="Symbol" w:hint="default"/>
      </w:rPr>
    </w:lvl>
    <w:lvl w:ilvl="4" w:tplc="AC8A9C7E">
      <w:start w:val="1"/>
      <w:numFmt w:val="bullet"/>
      <w:lvlText w:val="o"/>
      <w:lvlJc w:val="left"/>
      <w:pPr>
        <w:ind w:left="3240" w:hanging="360"/>
      </w:pPr>
      <w:rPr>
        <w:rFonts w:ascii="Courier New" w:hAnsi="Courier New" w:hint="default"/>
      </w:rPr>
    </w:lvl>
    <w:lvl w:ilvl="5" w:tplc="2FC864EE">
      <w:start w:val="1"/>
      <w:numFmt w:val="bullet"/>
      <w:lvlText w:val=""/>
      <w:lvlJc w:val="left"/>
      <w:pPr>
        <w:ind w:left="3960" w:hanging="360"/>
      </w:pPr>
      <w:rPr>
        <w:rFonts w:ascii="Wingdings" w:hAnsi="Wingdings" w:hint="default"/>
      </w:rPr>
    </w:lvl>
    <w:lvl w:ilvl="6" w:tplc="9DFC70C2">
      <w:start w:val="1"/>
      <w:numFmt w:val="bullet"/>
      <w:lvlText w:val=""/>
      <w:lvlJc w:val="left"/>
      <w:pPr>
        <w:ind w:left="4680" w:hanging="360"/>
      </w:pPr>
      <w:rPr>
        <w:rFonts w:ascii="Symbol" w:hAnsi="Symbol" w:hint="default"/>
      </w:rPr>
    </w:lvl>
    <w:lvl w:ilvl="7" w:tplc="5CB2798C">
      <w:start w:val="1"/>
      <w:numFmt w:val="bullet"/>
      <w:lvlText w:val="o"/>
      <w:lvlJc w:val="left"/>
      <w:pPr>
        <w:ind w:left="5400" w:hanging="360"/>
      </w:pPr>
      <w:rPr>
        <w:rFonts w:ascii="Courier New" w:hAnsi="Courier New" w:hint="default"/>
      </w:rPr>
    </w:lvl>
    <w:lvl w:ilvl="8" w:tplc="4DE2701E">
      <w:start w:val="1"/>
      <w:numFmt w:val="bullet"/>
      <w:lvlText w:val=""/>
      <w:lvlJc w:val="left"/>
      <w:pPr>
        <w:ind w:left="6120" w:hanging="360"/>
      </w:pPr>
      <w:rPr>
        <w:rFonts w:ascii="Wingdings" w:hAnsi="Wingdings" w:hint="default"/>
      </w:rPr>
    </w:lvl>
  </w:abstractNum>
  <w:abstractNum w:abstractNumId="11"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rPr>
    </w:lvl>
    <w:lvl w:ilvl="1">
      <w:start w:val="1"/>
      <w:numFmt w:val="bullet"/>
      <w:lvlText w:val="o"/>
      <w:lvlJc w:val="left"/>
      <w:pPr>
        <w:ind w:left="1440" w:hanging="360"/>
      </w:pPr>
      <w:rPr>
        <w:rFonts w:ascii="Courier New" w:hAnsi="Courier New" w:hint="default"/>
        <w:color w:val="2F5496"/>
      </w:rPr>
    </w:lvl>
    <w:lvl w:ilvl="2">
      <w:start w:val="1"/>
      <w:numFmt w:val="bullet"/>
      <w:lvlText w:val=""/>
      <w:lvlJc w:val="left"/>
      <w:pPr>
        <w:ind w:left="2160" w:hanging="360"/>
      </w:pPr>
      <w:rPr>
        <w:rFonts w:ascii="Wingdings" w:hAnsi="Wingdings" w:hint="default"/>
        <w:color w:val="2F5496"/>
      </w:rPr>
    </w:lvl>
    <w:lvl w:ilvl="3">
      <w:start w:val="1"/>
      <w:numFmt w:val="bullet"/>
      <w:lvlText w:val=""/>
      <w:lvlJc w:val="left"/>
      <w:pPr>
        <w:ind w:left="2880" w:hanging="360"/>
      </w:pPr>
      <w:rPr>
        <w:rFonts w:ascii="Symbol" w:hAnsi="Symbol" w:hint="default"/>
        <w:color w:val="2F5496"/>
      </w:rPr>
    </w:lvl>
    <w:lvl w:ilvl="4">
      <w:start w:val="1"/>
      <w:numFmt w:val="bullet"/>
      <w:lvlText w:val="o"/>
      <w:lvlJc w:val="left"/>
      <w:pPr>
        <w:ind w:left="3600" w:hanging="360"/>
      </w:pPr>
      <w:rPr>
        <w:rFonts w:ascii="Courier New" w:hAnsi="Courier New" w:hint="default"/>
        <w:color w:val="2F5496"/>
      </w:rPr>
    </w:lvl>
    <w:lvl w:ilvl="5">
      <w:start w:val="1"/>
      <w:numFmt w:val="bullet"/>
      <w:lvlText w:val=""/>
      <w:lvlJc w:val="left"/>
      <w:pPr>
        <w:ind w:left="4320" w:hanging="360"/>
      </w:pPr>
      <w:rPr>
        <w:rFonts w:ascii="Wingdings" w:hAnsi="Wingdings" w:hint="default"/>
        <w:color w:val="2F5496"/>
      </w:rPr>
    </w:lvl>
    <w:lvl w:ilvl="6">
      <w:start w:val="1"/>
      <w:numFmt w:val="bullet"/>
      <w:lvlText w:val=""/>
      <w:lvlJc w:val="left"/>
      <w:pPr>
        <w:ind w:left="5040" w:hanging="360"/>
      </w:pPr>
      <w:rPr>
        <w:rFonts w:ascii="Symbol" w:hAnsi="Symbol" w:hint="default"/>
        <w:color w:val="2F5496"/>
      </w:rPr>
    </w:lvl>
    <w:lvl w:ilvl="7">
      <w:start w:val="1"/>
      <w:numFmt w:val="bullet"/>
      <w:lvlText w:val="o"/>
      <w:lvlJc w:val="left"/>
      <w:pPr>
        <w:ind w:left="5760" w:hanging="360"/>
      </w:pPr>
      <w:rPr>
        <w:rFonts w:ascii="Courier New" w:hAnsi="Courier New" w:hint="default"/>
        <w:color w:val="2F5496"/>
      </w:rPr>
    </w:lvl>
    <w:lvl w:ilvl="8">
      <w:start w:val="1"/>
      <w:numFmt w:val="bullet"/>
      <w:lvlText w:val=""/>
      <w:lvlJc w:val="left"/>
      <w:pPr>
        <w:ind w:left="6480" w:hanging="360"/>
      </w:pPr>
      <w:rPr>
        <w:rFonts w:ascii="Wingdings" w:hAnsi="Wingdings" w:hint="default"/>
        <w:color w:val="2F5496"/>
      </w:rPr>
    </w:lvl>
  </w:abstractNum>
  <w:abstractNum w:abstractNumId="12" w15:restartNumberingAfterBreak="0">
    <w:nsid w:val="6CAF3CAE"/>
    <w:multiLevelType w:val="hybridMultilevel"/>
    <w:tmpl w:val="4F945D0E"/>
    <w:lvl w:ilvl="0" w:tplc="B494388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06613090">
    <w:abstractNumId w:val="8"/>
  </w:num>
  <w:num w:numId="2" w16cid:durableId="1411542240">
    <w:abstractNumId w:val="1"/>
  </w:num>
  <w:num w:numId="3" w16cid:durableId="838152979">
    <w:abstractNumId w:val="3"/>
  </w:num>
  <w:num w:numId="4" w16cid:durableId="1177959114">
    <w:abstractNumId w:val="11"/>
  </w:num>
  <w:num w:numId="5" w16cid:durableId="1036546413">
    <w:abstractNumId w:val="9"/>
  </w:num>
  <w:num w:numId="6" w16cid:durableId="839008858">
    <w:abstractNumId w:val="6"/>
  </w:num>
  <w:num w:numId="7" w16cid:durableId="7298490">
    <w:abstractNumId w:val="7"/>
  </w:num>
  <w:num w:numId="8" w16cid:durableId="2072271633">
    <w:abstractNumId w:val="12"/>
  </w:num>
  <w:num w:numId="9" w16cid:durableId="703864384">
    <w:abstractNumId w:val="0"/>
    <w:lvlOverride w:ilvl="0">
      <w:lvl w:ilvl="0">
        <w:numFmt w:val="bullet"/>
        <w:lvlText w:val=""/>
        <w:legacy w:legacy="1" w:legacySpace="0" w:legacyIndent="360"/>
        <w:lvlJc w:val="left"/>
        <w:pPr>
          <w:ind w:left="360" w:hanging="360"/>
        </w:pPr>
        <w:rPr>
          <w:rFonts w:ascii="Symbol" w:hAnsi="Symbol" w:hint="default"/>
        </w:rPr>
      </w:lvl>
    </w:lvlOverride>
  </w:num>
  <w:num w:numId="10" w16cid:durableId="1490825419">
    <w:abstractNumId w:val="5"/>
  </w:num>
  <w:num w:numId="11" w16cid:durableId="1674407837">
    <w:abstractNumId w:val="2"/>
  </w:num>
  <w:num w:numId="12" w16cid:durableId="1761827940">
    <w:abstractNumId w:val="4"/>
  </w:num>
  <w:num w:numId="13" w16cid:durableId="691682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8D"/>
    <w:rsid w:val="0005606C"/>
    <w:rsid w:val="000562E2"/>
    <w:rsid w:val="00080C8C"/>
    <w:rsid w:val="000B59C0"/>
    <w:rsid w:val="0010444B"/>
    <w:rsid w:val="001259F3"/>
    <w:rsid w:val="00144711"/>
    <w:rsid w:val="0017336D"/>
    <w:rsid w:val="0019270C"/>
    <w:rsid w:val="001B4936"/>
    <w:rsid w:val="001E231C"/>
    <w:rsid w:val="001E264C"/>
    <w:rsid w:val="001F6BF2"/>
    <w:rsid w:val="00297058"/>
    <w:rsid w:val="002B170D"/>
    <w:rsid w:val="002C3665"/>
    <w:rsid w:val="00311D3E"/>
    <w:rsid w:val="00341111"/>
    <w:rsid w:val="00353D4F"/>
    <w:rsid w:val="003A53BA"/>
    <w:rsid w:val="003A5D50"/>
    <w:rsid w:val="003B4A64"/>
    <w:rsid w:val="003E0821"/>
    <w:rsid w:val="003E526E"/>
    <w:rsid w:val="00402900"/>
    <w:rsid w:val="00415B53"/>
    <w:rsid w:val="0045332D"/>
    <w:rsid w:val="00463C6E"/>
    <w:rsid w:val="004A7821"/>
    <w:rsid w:val="004C0CB3"/>
    <w:rsid w:val="004D2E60"/>
    <w:rsid w:val="004D3EFC"/>
    <w:rsid w:val="005027FD"/>
    <w:rsid w:val="00537713"/>
    <w:rsid w:val="0058659C"/>
    <w:rsid w:val="005E4063"/>
    <w:rsid w:val="005E6B23"/>
    <w:rsid w:val="006141D0"/>
    <w:rsid w:val="00626870"/>
    <w:rsid w:val="0063460C"/>
    <w:rsid w:val="00635A72"/>
    <w:rsid w:val="00657109"/>
    <w:rsid w:val="00662E54"/>
    <w:rsid w:val="006701FF"/>
    <w:rsid w:val="006C68CA"/>
    <w:rsid w:val="006D4159"/>
    <w:rsid w:val="006F0ADF"/>
    <w:rsid w:val="0071188C"/>
    <w:rsid w:val="00735743"/>
    <w:rsid w:val="00770154"/>
    <w:rsid w:val="0077065A"/>
    <w:rsid w:val="00791B9E"/>
    <w:rsid w:val="007C450C"/>
    <w:rsid w:val="008002E9"/>
    <w:rsid w:val="00851D4E"/>
    <w:rsid w:val="00867569"/>
    <w:rsid w:val="00873112"/>
    <w:rsid w:val="00896332"/>
    <w:rsid w:val="008B246A"/>
    <w:rsid w:val="008F15B2"/>
    <w:rsid w:val="008F5144"/>
    <w:rsid w:val="00910E9A"/>
    <w:rsid w:val="00934A82"/>
    <w:rsid w:val="00940B10"/>
    <w:rsid w:val="0097798D"/>
    <w:rsid w:val="009B6793"/>
    <w:rsid w:val="009D7054"/>
    <w:rsid w:val="00A01950"/>
    <w:rsid w:val="00A327F6"/>
    <w:rsid w:val="00A51A46"/>
    <w:rsid w:val="00A709E4"/>
    <w:rsid w:val="00A7338C"/>
    <w:rsid w:val="00A82280"/>
    <w:rsid w:val="00A908FE"/>
    <w:rsid w:val="00A93CB4"/>
    <w:rsid w:val="00AA4034"/>
    <w:rsid w:val="00AA7615"/>
    <w:rsid w:val="00AB1545"/>
    <w:rsid w:val="00AD04EF"/>
    <w:rsid w:val="00AD0821"/>
    <w:rsid w:val="00AD7445"/>
    <w:rsid w:val="00AF4EEE"/>
    <w:rsid w:val="00B0109A"/>
    <w:rsid w:val="00B67282"/>
    <w:rsid w:val="00B93BC7"/>
    <w:rsid w:val="00BB7AD3"/>
    <w:rsid w:val="00BC4649"/>
    <w:rsid w:val="00C226CC"/>
    <w:rsid w:val="00CD5CBE"/>
    <w:rsid w:val="00CF75BD"/>
    <w:rsid w:val="00D03C22"/>
    <w:rsid w:val="00D55A82"/>
    <w:rsid w:val="00D77155"/>
    <w:rsid w:val="00DA2717"/>
    <w:rsid w:val="00DD4D63"/>
    <w:rsid w:val="00DF396F"/>
    <w:rsid w:val="00E31D01"/>
    <w:rsid w:val="00ED527C"/>
    <w:rsid w:val="00EF518E"/>
    <w:rsid w:val="00F34038"/>
    <w:rsid w:val="00F630B3"/>
    <w:rsid w:val="00F91C05"/>
    <w:rsid w:val="00F92C67"/>
    <w:rsid w:val="00FC1054"/>
    <w:rsid w:val="00FD3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E19B"/>
  <w15:chartTrackingRefBased/>
  <w15:docId w15:val="{C98548C6-DF1C-4712-84DD-8AC6183B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8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97798D"/>
    <w:pPr>
      <w:keepNext/>
      <w:tabs>
        <w:tab w:val="left" w:pos="540"/>
        <w:tab w:val="left" w:pos="2880"/>
        <w:tab w:val="left" w:pos="3500"/>
      </w:tabs>
      <w:ind w:left="720"/>
      <w:jc w:val="center"/>
      <w:outlineLvl w:val="2"/>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7798D"/>
    <w:rPr>
      <w:rFonts w:ascii="Times New Roman" w:eastAsia="Times New Roman" w:hAnsi="Times New Roman" w:cs="Times New Roman"/>
      <w:b/>
      <w:sz w:val="24"/>
      <w:szCs w:val="20"/>
      <w:lang w:val="en-GB"/>
    </w:rPr>
  </w:style>
  <w:style w:type="character" w:styleId="Hyperlink">
    <w:name w:val="Hyperlink"/>
    <w:unhideWhenUsed/>
    <w:rsid w:val="0097798D"/>
    <w:rPr>
      <w:color w:val="0000FF"/>
      <w:u w:val="single"/>
    </w:rPr>
  </w:style>
  <w:style w:type="paragraph" w:styleId="BodyText">
    <w:name w:val="Body Text"/>
    <w:basedOn w:val="Normal"/>
    <w:link w:val="BodyTextChar"/>
    <w:unhideWhenUsed/>
    <w:rsid w:val="0097798D"/>
    <w:pPr>
      <w:spacing w:after="120"/>
    </w:pPr>
  </w:style>
  <w:style w:type="character" w:customStyle="1" w:styleId="BodyTextChar">
    <w:name w:val="Body Text Char"/>
    <w:basedOn w:val="DefaultParagraphFont"/>
    <w:link w:val="BodyText"/>
    <w:rsid w:val="0097798D"/>
    <w:rPr>
      <w:rFonts w:ascii="Times New Roman" w:eastAsia="Times New Roman" w:hAnsi="Times New Roman" w:cs="Times New Roman"/>
      <w:sz w:val="24"/>
      <w:szCs w:val="24"/>
      <w:lang w:val="en-US"/>
    </w:rPr>
  </w:style>
  <w:style w:type="paragraph" w:customStyle="1" w:styleId="Default">
    <w:name w:val="Default"/>
    <w:rsid w:val="0097798D"/>
    <w:pPr>
      <w:autoSpaceDE w:val="0"/>
      <w:autoSpaceDN w:val="0"/>
      <w:adjustRightInd w:val="0"/>
      <w:spacing w:after="0" w:line="240" w:lineRule="auto"/>
    </w:pPr>
    <w:rPr>
      <w:rFonts w:ascii="Calibri" w:eastAsia="Times New Roman" w:hAnsi="Calibri" w:cs="Calibri"/>
      <w:color w:val="000000"/>
      <w:sz w:val="24"/>
      <w:szCs w:val="24"/>
      <w:lang w:eastAsia="en-IE"/>
    </w:rPr>
  </w:style>
  <w:style w:type="paragraph" w:styleId="BodyTextIndent">
    <w:name w:val="Body Text Indent"/>
    <w:basedOn w:val="Normal"/>
    <w:link w:val="BodyTextIndentChar"/>
    <w:uiPriority w:val="99"/>
    <w:unhideWhenUsed/>
    <w:rsid w:val="001F6BF2"/>
    <w:pPr>
      <w:spacing w:after="120"/>
      <w:ind w:left="283"/>
    </w:pPr>
  </w:style>
  <w:style w:type="character" w:customStyle="1" w:styleId="BodyTextIndentChar">
    <w:name w:val="Body Text Indent Char"/>
    <w:basedOn w:val="DefaultParagraphFont"/>
    <w:link w:val="BodyTextIndent"/>
    <w:uiPriority w:val="99"/>
    <w:rsid w:val="001F6BF2"/>
    <w:rPr>
      <w:rFonts w:ascii="Times New Roman" w:eastAsia="Times New Roman" w:hAnsi="Times New Roman" w:cs="Times New Roman"/>
      <w:sz w:val="24"/>
      <w:szCs w:val="24"/>
      <w:lang w:val="en-US"/>
    </w:rPr>
  </w:style>
  <w:style w:type="paragraph" w:styleId="ListBullet">
    <w:name w:val="List Bullet"/>
    <w:basedOn w:val="Normal"/>
    <w:uiPriority w:val="1"/>
    <w:unhideWhenUsed/>
    <w:qFormat/>
    <w:rsid w:val="001E231C"/>
    <w:pPr>
      <w:numPr>
        <w:numId w:val="4"/>
      </w:numPr>
      <w:tabs>
        <w:tab w:val="clear" w:pos="360"/>
        <w:tab w:val="num" w:pos="720"/>
      </w:tabs>
      <w:spacing w:after="60" w:line="288" w:lineRule="auto"/>
      <w:ind w:left="720" w:hanging="360"/>
    </w:pPr>
    <w:rPr>
      <w:rFonts w:ascii="Arial" w:eastAsia="Arial" w:hAnsi="Arial"/>
      <w:color w:val="404040"/>
      <w:sz w:val="18"/>
      <w:szCs w:val="18"/>
      <w:lang w:eastAsia="ja-JP"/>
    </w:rPr>
  </w:style>
  <w:style w:type="paragraph" w:styleId="ListParagraph">
    <w:name w:val="List Paragraph"/>
    <w:basedOn w:val="Normal"/>
    <w:uiPriority w:val="34"/>
    <w:qFormat/>
    <w:rsid w:val="005E4063"/>
    <w:pPr>
      <w:ind w:left="720"/>
      <w:contextualSpacing/>
    </w:pPr>
  </w:style>
  <w:style w:type="character" w:styleId="Strong">
    <w:name w:val="Strong"/>
    <w:basedOn w:val="DefaultParagraphFont"/>
    <w:uiPriority w:val="22"/>
    <w:qFormat/>
    <w:rsid w:val="00A01950"/>
    <w:rPr>
      <w:b/>
      <w:bCs/>
    </w:rPr>
  </w:style>
  <w:style w:type="character" w:styleId="Emphasis">
    <w:name w:val="Emphasis"/>
    <w:basedOn w:val="DefaultParagraphFont"/>
    <w:uiPriority w:val="20"/>
    <w:qFormat/>
    <w:rsid w:val="00A01950"/>
    <w:rPr>
      <w:i/>
      <w:iCs/>
    </w:rPr>
  </w:style>
  <w:style w:type="character" w:styleId="UnresolvedMention">
    <w:name w:val="Unresolved Mention"/>
    <w:basedOn w:val="DefaultParagraphFont"/>
    <w:uiPriority w:val="99"/>
    <w:semiHidden/>
    <w:unhideWhenUsed/>
    <w:rsid w:val="001E264C"/>
    <w:rPr>
      <w:color w:val="605E5C"/>
      <w:shd w:val="clear" w:color="auto" w:fill="E1DFDD"/>
    </w:rPr>
  </w:style>
  <w:style w:type="character" w:styleId="FollowedHyperlink">
    <w:name w:val="FollowedHyperlink"/>
    <w:basedOn w:val="DefaultParagraphFont"/>
    <w:uiPriority w:val="99"/>
    <w:semiHidden/>
    <w:unhideWhenUsed/>
    <w:rsid w:val="004D2E60"/>
    <w:rPr>
      <w:color w:val="954F72" w:themeColor="followedHyperlink"/>
      <w:u w:val="single"/>
    </w:rPr>
  </w:style>
  <w:style w:type="table" w:styleId="TableGrid">
    <w:name w:val="Table Grid"/>
    <w:basedOn w:val="TableNormal"/>
    <w:rsid w:val="00ED52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u.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tu.ie/connect/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4A74D7EF87D49A26DCA4D975EFBE1" ma:contentTypeVersion="14" ma:contentTypeDescription="Create a new document." ma:contentTypeScope="" ma:versionID="334c7eaeea7a1dbe8be0fa85a6c089c2">
  <xsd:schema xmlns:xsd="http://www.w3.org/2001/XMLSchema" xmlns:xs="http://www.w3.org/2001/XMLSchema" xmlns:p="http://schemas.microsoft.com/office/2006/metadata/properties" xmlns:ns1="http://schemas.microsoft.com/sharepoint/v3" xmlns:ns2="71a1168b-9517-48a8-9c8f-545fdca8ecaa" xmlns:ns3="83826d34-01ed-46dc-be2e-d1d4ba60a072" targetNamespace="http://schemas.microsoft.com/office/2006/metadata/properties" ma:root="true" ma:fieldsID="cd3bddd1df3216ac6bc55655e216fb95" ns1:_="" ns2:_="" ns3:_="">
    <xsd:import namespace="http://schemas.microsoft.com/sharepoint/v3"/>
    <xsd:import namespace="71a1168b-9517-48a8-9c8f-545fdca8ecaa"/>
    <xsd:import namespace="83826d34-01ed-46dc-be2e-d1d4ba60a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1168b-9517-48a8-9c8f-545fdca8e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26d34-01ed-46dc-be2e-d1d4ba60a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2067cc-5aeb-4e56-8060-823fde05f724}" ma:internalName="TaxCatchAll" ma:showField="CatchAllData" ma:web="83826d34-01ed-46dc-be2e-d1d4ba60a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1a1168b-9517-48a8-9c8f-545fdca8ecaa">
      <Terms xmlns="http://schemas.microsoft.com/office/infopath/2007/PartnerControls"/>
    </lcf76f155ced4ddcb4097134ff3c332f>
    <TaxCatchAll xmlns="83826d34-01ed-46dc-be2e-d1d4ba60a0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E798C-9DAE-43A5-9745-347815FFD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1168b-9517-48a8-9c8f-545fdca8ecaa"/>
    <ds:schemaRef ds:uri="83826d34-01ed-46dc-be2e-d1d4ba60a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CDEF6-BD45-4B3B-B3E6-E5E8F764BE23}">
  <ds:schemaRefs>
    <ds:schemaRef ds:uri="http://schemas.microsoft.com/office/2006/metadata/properties"/>
    <ds:schemaRef ds:uri="http://schemas.microsoft.com/office/infopath/2007/PartnerControls"/>
    <ds:schemaRef ds:uri="http://schemas.microsoft.com/sharepoint/v3"/>
    <ds:schemaRef ds:uri="71a1168b-9517-48a8-9c8f-545fdca8ecaa"/>
    <ds:schemaRef ds:uri="83826d34-01ed-46dc-be2e-d1d4ba60a072"/>
  </ds:schemaRefs>
</ds:datastoreItem>
</file>

<file path=customXml/itemProps3.xml><?xml version="1.0" encoding="utf-8"?>
<ds:datastoreItem xmlns:ds="http://schemas.openxmlformats.org/officeDocument/2006/customXml" ds:itemID="{DAE36FC4-4E97-4089-943C-17C0DE922664}">
  <ds:schemaRefs>
    <ds:schemaRef ds:uri="http://schemas.microsoft.com/sharepoint/v3/contenttype/forms"/>
  </ds:schemaRefs>
</ds:datastoreItem>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McManus</dc:creator>
  <cp:keywords/>
  <dc:description/>
  <cp:lastModifiedBy>Ella Grealy</cp:lastModifiedBy>
  <cp:revision>54</cp:revision>
  <dcterms:created xsi:type="dcterms:W3CDTF">2023-09-04T08:58:00Z</dcterms:created>
  <dcterms:modified xsi:type="dcterms:W3CDTF">2026-04-22T09:05:00Z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0x0101004194A74D7EF87D49A26DCA4D975EFBE1</vt:lpwstr>
  </property>
  <property fmtid="{D5CDD505-2E9C-101B-9397-08002B2CF9AE}" pid="3" name="MediaServiceImageTags">
    <vt:lpwstr/>
  </property>
</Properties>
</file>